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left" w:leader="none" w:pos="142"/>
        </w:tabs>
        <w:ind w:left="0" w:firstLine="0"/>
        <w:rPr>
          <w:rFonts w:ascii="Arial" w:cs="Arial" w:eastAsia="Arial" w:hAnsi="Arial"/>
        </w:rPr>
      </w:pPr>
      <w:r w:rsidDel="00000000" w:rsidR="00000000" w:rsidRPr="00000000">
        <w:rPr>
          <w:rFonts w:ascii="Arial" w:cs="Arial" w:eastAsia="Arial" w:hAnsi="Arial"/>
          <w:rtl w:val="0"/>
        </w:rPr>
        <w:t xml:space="preserve"> Superintendencia de Comunicaciones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6" w:lineRule="auto"/>
        <w:rPr>
          <w:color w:val="000000"/>
          <w:sz w:val="19"/>
          <w:szCs w:val="19"/>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8695" cy="389384"/>
                <wp:effectExtent b="0" l="0" r="0" t="0"/>
                <wp:wrapTopAndBottom distB="0" distT="0"/>
                <wp:docPr id="3" name=""/>
                <a:graphic>
                  <a:graphicData uri="http://schemas.microsoft.com/office/word/2010/wordprocessingGroup">
                    <wpg:wgp>
                      <wpg:cNvGrpSpPr/>
                      <wpg:grpSpPr>
                        <a:xfrm>
                          <a:off x="2311650" y="3585300"/>
                          <a:ext cx="6068695" cy="389384"/>
                          <a:chOff x="2311650" y="3585300"/>
                          <a:chExt cx="6068700" cy="389400"/>
                        </a:xfrm>
                      </wpg:grpSpPr>
                      <wpg:grpSp>
                        <wpg:cNvGrpSpPr/>
                        <wpg:grpSpPr>
                          <a:xfrm>
                            <a:off x="2311655" y="3585322"/>
                            <a:ext cx="6068690" cy="389357"/>
                            <a:chOff x="2311653" y="3594580"/>
                            <a:chExt cx="6068695" cy="370825"/>
                          </a:xfrm>
                        </wpg:grpSpPr>
                        <wps:wsp>
                          <wps:cNvSpPr/>
                          <wps:cNvPr id="3" name="Shape 3"/>
                          <wps:spPr>
                            <a:xfrm>
                              <a:off x="2311653" y="359458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1653" y="3594580"/>
                              <a:ext cx="6068695" cy="370825"/>
                              <a:chOff x="0" y="0"/>
                              <a:chExt cx="6068695" cy="370825"/>
                            </a:xfrm>
                          </wpg:grpSpPr>
                          <wps:wsp>
                            <wps:cNvSpPr/>
                            <wps:cNvPr id="5" name="Shape 5"/>
                            <wps:spPr>
                              <a:xfrm>
                                <a:off x="0" y="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7" name="Shape 7"/>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8" name="Shape 8"/>
                            <wps:spPr>
                              <a:xfrm>
                                <a:off x="0" y="3"/>
                                <a:ext cx="6068695" cy="364490"/>
                              </a:xfrm>
                              <a:prstGeom prst="rect">
                                <a:avLst/>
                              </a:prstGeom>
                              <a:noFill/>
                              <a:ln>
                                <a:noFill/>
                              </a:ln>
                            </wps:spPr>
                            <wps:txbx>
                              <w:txbxContent>
                                <w:p w:rsidR="00000000" w:rsidDel="00000000" w:rsidP="00000000" w:rsidRDefault="00000000" w:rsidRPr="00000000">
                                  <w:pPr>
                                    <w:spacing w:after="0" w:before="16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Curso de radio operador y despachador de emergencias.</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8695" cy="389384"/>
                <wp:effectExtent b="0" l="0" r="0" t="0"/>
                <wp:wrapTopAndBottom distB="0" distT="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068695" cy="389384"/>
                        </a:xfrm>
                        <a:prstGeom prst="rect"/>
                        <a:ln/>
                      </pic:spPr>
                    </pic:pic>
                  </a:graphicData>
                </a:graphic>
              </wp:anchor>
            </w:drawing>
          </mc:Fallback>
        </mc:AlternateContent>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38" w:lineRule="auto"/>
        <w:rPr>
          <w:color w:val="000000"/>
          <w:sz w:val="24"/>
          <w:szCs w:val="24"/>
        </w:rPr>
      </w:pPr>
      <w:r w:rsidDel="00000000" w:rsidR="00000000" w:rsidRPr="00000000">
        <w:rPr>
          <w:rtl w:val="0"/>
        </w:rPr>
      </w:r>
    </w:p>
    <w:p w:rsidR="00000000" w:rsidDel="00000000" w:rsidP="00000000" w:rsidRDefault="00000000" w:rsidRPr="00000000" w14:paraId="00000005">
      <w:pPr>
        <w:pStyle w:val="Heading1"/>
        <w:spacing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Descripción:</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240" w:line="360" w:lineRule="auto"/>
        <w:ind w:left="142" w:right="135"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Los centros de despacho</w:t>
      </w:r>
      <w:r w:rsidDel="00000000" w:rsidR="00000000" w:rsidRPr="00000000">
        <w:rPr>
          <w:rtl w:val="0"/>
        </w:rPr>
        <w:t xml:space="preserve"> </w:t>
      </w:r>
      <w:r w:rsidDel="00000000" w:rsidR="00000000" w:rsidRPr="00000000">
        <w:rPr>
          <w:rFonts w:ascii="Arial" w:cs="Arial" w:eastAsia="Arial" w:hAnsi="Arial"/>
          <w:color w:val="000000"/>
          <w:rtl w:val="0"/>
        </w:rPr>
        <w:t xml:space="preserve">reciben llamadas que ingresan de las centrales de atención telefónica de emergencias 911. Su labor principal es asignar los recursos que correspondan (móviles policiales, ambulancias, bomberos, etc.) en función de las características de las emergencias recibidas, es decir despachar la emergencia y registrar los procedimientos mediante un sistema informático que oficia de documento público. El/la radio-operador/a es quien debe administrar los canales radioeléctricos manteniendo el ordenamiento, uso lacónico y operativo de las modulaciones, posicionándolo en un lugar de vital importancia, siendo este un nexo con el personal policial que se encuentra en la vía pública para asistir a las víctimas en situación de emergencia.</w:t>
      </w:r>
      <w:r w:rsidDel="00000000" w:rsidR="00000000" w:rsidRPr="00000000">
        <w:rPr>
          <w:rtl w:val="0"/>
        </w:rPr>
        <w:t xml:space="preserve"> </w:t>
      </w:r>
      <w:r w:rsidDel="00000000" w:rsidR="00000000" w:rsidRPr="00000000">
        <w:rPr>
          <w:rFonts w:ascii="Arial" w:cs="Arial" w:eastAsia="Arial" w:hAnsi="Arial"/>
          <w:color w:val="000000"/>
          <w:rtl w:val="0"/>
        </w:rPr>
        <w:t xml:space="preserve">Esta propuesta pretende lograr una formación que afiance y fortalezca mayores conocimientos al efectivo policial que despliega dicha labor, y del jefe de la dependencia, que debe controlar y supervisar el profesionalismo de la función.</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240" w:line="360" w:lineRule="auto"/>
        <w:ind w:left="142" w:right="135" w:firstLine="0"/>
        <w:jc w:val="both"/>
        <w:rPr>
          <w:rFonts w:ascii="Arial" w:cs="Arial" w:eastAsia="Arial" w:hAnsi="Arial"/>
          <w:b w:val="1"/>
        </w:rPr>
      </w:pPr>
      <w:r w:rsidDel="00000000" w:rsidR="00000000" w:rsidRPr="00000000">
        <w:rPr>
          <w:rFonts w:ascii="Arial" w:cs="Arial" w:eastAsia="Arial" w:hAnsi="Arial"/>
          <w:b w:val="1"/>
          <w:rtl w:val="0"/>
        </w:rPr>
        <w:t xml:space="preserve">Destinatarios:</w:t>
      </w:r>
    </w:p>
    <w:p w:rsidR="00000000" w:rsidDel="00000000" w:rsidP="00000000" w:rsidRDefault="00000000" w:rsidRPr="00000000" w14:paraId="00000008">
      <w:pPr>
        <w:spacing w:line="360" w:lineRule="auto"/>
        <w:ind w:left="143" w:firstLine="0"/>
        <w:rPr>
          <w:rFonts w:ascii="Arial" w:cs="Arial" w:eastAsia="Arial" w:hAnsi="Arial"/>
          <w:color w:val="000000"/>
        </w:rPr>
      </w:pPr>
      <w:r w:rsidDel="00000000" w:rsidR="00000000" w:rsidRPr="00000000">
        <w:rPr>
          <w:rFonts w:ascii="Arial" w:cs="Arial" w:eastAsia="Arial" w:hAnsi="Arial"/>
          <w:color w:val="000000"/>
          <w:rtl w:val="0"/>
        </w:rPr>
        <w:t xml:space="preserve">La propuesta está orientada a todo personal policial sin distinción de jerarquía y escalafón.</w:t>
      </w:r>
    </w:p>
    <w:p w:rsidR="00000000" w:rsidDel="00000000" w:rsidP="00000000" w:rsidRDefault="00000000" w:rsidRPr="00000000" w14:paraId="00000009">
      <w:pPr>
        <w:spacing w:line="360" w:lineRule="auto"/>
        <w:ind w:left="143"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spacing w:line="360" w:lineRule="auto"/>
        <w:ind w:left="143" w:firstLine="0"/>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virtual.</w:t>
      </w:r>
    </w:p>
    <w:p w:rsidR="00000000" w:rsidDel="00000000" w:rsidP="00000000" w:rsidRDefault="00000000" w:rsidRPr="00000000" w14:paraId="0000000B">
      <w:pPr>
        <w:spacing w:line="360" w:lineRule="auto"/>
        <w:ind w:left="143" w:firstLine="0"/>
        <w:rPr>
          <w:rFonts w:ascii="Arial" w:cs="Arial" w:eastAsia="Arial" w:hAnsi="Arial"/>
        </w:rPr>
      </w:pPr>
      <w:r w:rsidDel="00000000" w:rsidR="00000000" w:rsidRPr="00000000">
        <w:rPr>
          <w:rtl w:val="0"/>
        </w:rPr>
      </w:r>
    </w:p>
    <w:p w:rsidR="00000000" w:rsidDel="00000000" w:rsidP="00000000" w:rsidRDefault="00000000" w:rsidRPr="00000000" w14:paraId="0000000C">
      <w:pPr>
        <w:spacing w:line="360" w:lineRule="auto"/>
        <w:ind w:left="143" w:firstLine="0"/>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20 horas reloj.</w:t>
      </w:r>
    </w:p>
    <w:p w:rsidR="00000000" w:rsidDel="00000000" w:rsidP="00000000" w:rsidRDefault="00000000" w:rsidRPr="00000000" w14:paraId="0000000D">
      <w:pPr>
        <w:spacing w:line="360" w:lineRule="auto"/>
        <w:ind w:left="143" w:firstLine="0"/>
        <w:rPr>
          <w:rFonts w:ascii="Arial" w:cs="Arial" w:eastAsia="Arial" w:hAnsi="Arial"/>
        </w:rPr>
      </w:pPr>
      <w:r w:rsidDel="00000000" w:rsidR="00000000" w:rsidRPr="00000000">
        <w:rPr>
          <w:rtl w:val="0"/>
        </w:rPr>
      </w:r>
    </w:p>
    <w:p w:rsidR="00000000" w:rsidDel="00000000" w:rsidP="00000000" w:rsidRDefault="00000000" w:rsidRPr="00000000" w14:paraId="0000000E">
      <w:pPr>
        <w:pStyle w:val="Heading1"/>
        <w:spacing w:line="360" w:lineRule="auto"/>
        <w:ind w:firstLine="143"/>
        <w:rPr>
          <w:rFonts w:ascii="Arial" w:cs="Arial" w:eastAsia="Arial" w:hAnsi="Arial"/>
          <w:b w:val="0"/>
          <w:sz w:val="22"/>
          <w:szCs w:val="22"/>
        </w:rPr>
      </w:pPr>
      <w:r w:rsidDel="00000000" w:rsidR="00000000" w:rsidRPr="00000000">
        <w:rPr>
          <w:rFonts w:ascii="Arial" w:cs="Arial" w:eastAsia="Arial" w:hAnsi="Arial"/>
          <w:sz w:val="22"/>
          <w:szCs w:val="22"/>
          <w:rtl w:val="0"/>
        </w:rPr>
        <w:t xml:space="preserve">Ediciones: </w:t>
      </w:r>
      <w:r w:rsidDel="00000000" w:rsidR="00000000" w:rsidRPr="00000000">
        <w:rPr>
          <w:rFonts w:ascii="Arial" w:cs="Arial" w:eastAsia="Arial" w:hAnsi="Arial"/>
          <w:b w:val="0"/>
          <w:sz w:val="22"/>
          <w:szCs w:val="22"/>
          <w:rtl w:val="0"/>
        </w:rPr>
        <w:t xml:space="preserve">3 ediciones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6"/>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6"/>
        </w:tabs>
        <w:spacing w:after="0" w:before="0" w:line="360" w:lineRule="auto"/>
        <w:ind w:left="14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Fecha de inicio y finalización: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1º edición: del 21 de abril al 21 de mayo de 2025. 2º edición: del 18 de agosto al 17 de septiembre de 2025. 3º edición: del 6 de octubre al 5 de noviembre de 2025.</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6"/>
        </w:tabs>
        <w:spacing w:after="0" w:before="0" w:line="360" w:lineRule="auto"/>
        <w:ind w:left="14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spacing w:line="360" w:lineRule="auto"/>
        <w:ind w:left="143" w:firstLine="0"/>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40 por edición.</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Style w:val="Heading1"/>
        <w:spacing w:line="360" w:lineRule="auto"/>
        <w:ind w:left="15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42" w:line="360" w:lineRule="auto"/>
        <w:ind w:left="566.929133858267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Correo electrónico: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secretaria.radiocentralayb2@comunicaciones.mseg.gba.gov.ar</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42" w:line="360" w:lineRule="auto"/>
        <w:ind w:left="566.929133858267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Teléfono: 221- 4126840 interno: 81040.</w:t>
      </w:r>
    </w:p>
    <w:sectPr>
      <w:pgSz w:h="16840" w:w="11910" w:orient="portrait"/>
      <w:pgMar w:bottom="1418" w:top="1418" w:left="1418" w:right="1134"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566.9291338582675" w:hanging="359.99999999999994"/>
      </w:pPr>
      <w:rPr>
        <w:rFonts w:ascii="Noto Sans Symbols" w:cs="Noto Sans Symbols" w:eastAsia="Noto Sans Symbols" w:hAnsi="Noto Sans Symbols"/>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uiPriority w:val="1"/>
    <w:qFormat w:val="1"/>
    <w:rPr>
      <w:lang w:eastAsia="en-US"/>
    </w:rPr>
  </w:style>
  <w:style w:type="paragraph" w:styleId="Ttulo1">
    <w:name w:val="heading 1"/>
    <w:basedOn w:val="Normal"/>
    <w:uiPriority w:val="1"/>
    <w:qFormat w:val="1"/>
    <w:pPr>
      <w:ind w:left="143"/>
      <w:outlineLvl w:val="0"/>
    </w:pPr>
    <w:rPr>
      <w:b w:val="1"/>
      <w:bCs w:val="1"/>
      <w:sz w:val="24"/>
      <w:szCs w:val="24"/>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
    <w:qFormat w:val="1"/>
    <w:pPr>
      <w:spacing w:before="17"/>
      <w:ind w:left="143"/>
    </w:pPr>
    <w:rPr>
      <w:sz w:val="34"/>
      <w:szCs w:val="34"/>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ipervnculo">
    <w:name w:val="Hyperlink"/>
    <w:basedOn w:val="Fuentedeprrafopredeter"/>
    <w:uiPriority w:val="99"/>
    <w:unhideWhenUsed w:val="1"/>
    <w:rsid w:val="001D6575"/>
    <w:rPr>
      <w:color w:val="0000ff" w:themeColor="hyperlink"/>
      <w:u w:val="single"/>
    </w:rPr>
  </w:style>
  <w:style w:type="character" w:styleId="Mencinsinresolver">
    <w:name w:val="Unresolved Mention"/>
    <w:basedOn w:val="Fuentedeprrafopredeter"/>
    <w:uiPriority w:val="99"/>
    <w:semiHidden w:val="1"/>
    <w:unhideWhenUsed w:val="1"/>
    <w:rsid w:val="001D6575"/>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ecretaria.radiocentralayb2@comunicaciones.mseg.gba.gov.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yoHz9j11hVtMqyS88Fmr9ObdBg==">CgMxLjA4AHIhMWhOZlVIelQ3ME5pVUQwTmE3YmhHZHhiRGFWTnhhQUZz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2025-05-08T02:23:00Z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